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D379C5">
        <w:rPr>
          <w:b/>
          <w:u w:val="single"/>
          <w:lang w:eastAsia="ru-RU"/>
        </w:rPr>
        <w:t>01.07</w:t>
      </w:r>
      <w:r w:rsidR="00A43890">
        <w:rPr>
          <w:b/>
          <w:u w:val="single"/>
          <w:lang w:eastAsia="ru-RU"/>
        </w:rPr>
        <w:t>.2017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975B92">
        <w:rPr>
          <w:b/>
          <w:color w:val="000000"/>
        </w:rPr>
        <w:t>ия «Город Кедровый» на 2015-2019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975B92">
        <w:rPr>
          <w:color w:val="000000"/>
        </w:rPr>
        <w:t xml:space="preserve"> на 2015-2019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975B92">
              <w:rPr>
                <w:color w:val="000000"/>
                <w:sz w:val="20"/>
                <w:szCs w:val="20"/>
              </w:rPr>
              <w:t>ия «Город Кедровый» на 2015-2019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2B17CF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0C58F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8234B3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272083" w:rsidP="0082130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34B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8234B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27208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5024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4623A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-1,7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E6794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4623A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D379C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379C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379C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4623A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6E4ED9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6E4ED9" w:rsidRDefault="0015024D" w:rsidP="0015024D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4623A3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1B2CD8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234B3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312EFF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2A4539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78183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234B3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CA4810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  <w:tr w:rsidR="0015024D" w:rsidTr="00781836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FB0D28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FB0D28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FB0D28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FB0D28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15024D" w:rsidP="0015024D">
            <w:r w:rsidRPr="00CA4810">
              <w:rPr>
                <w:color w:val="000000"/>
                <w:sz w:val="20"/>
                <w:szCs w:val="20"/>
                <w:lang w:eastAsia="ru-RU"/>
              </w:rPr>
              <w:t>Мероприятие оценивается по итогам года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975B92">
        <w:rPr>
          <w:color w:val="000000"/>
        </w:rPr>
        <w:t xml:space="preserve"> на 2015-2019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9E0748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E79EC" w:rsidRPr="00227020" w:rsidTr="009E0748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733A4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733A4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F628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27066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5F0BB8" w:rsidRDefault="008A336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Проведение круглого стола с представите</w:t>
            </w:r>
            <w:r w:rsidR="006A6181">
              <w:rPr>
                <w:color w:val="000000"/>
                <w:sz w:val="18"/>
                <w:szCs w:val="18"/>
                <w:lang w:eastAsia="ru-RU"/>
              </w:rPr>
              <w:t>лями государственных учреждений; организация встречи с Комитетом по лицензированию Томской области, проведение заседаний Координационного совета предпринимателей</w:t>
            </w:r>
            <w:r w:rsidR="00282652">
              <w:rPr>
                <w:color w:val="000000"/>
                <w:sz w:val="18"/>
                <w:szCs w:val="18"/>
                <w:lang w:eastAsia="ru-RU"/>
              </w:rPr>
              <w:t>, организация онлайн-семинаров по подключению ККТ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693B0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F628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27066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F5851" w:rsidRDefault="004B4A76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B4A76"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96BD6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96BD6" w:rsidRPr="00227020" w:rsidRDefault="00996BD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96BD6" w:rsidRPr="00227020" w:rsidRDefault="00996BD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96BD6" w:rsidRPr="00227020" w:rsidRDefault="00996BD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96BD6" w:rsidRPr="00227020" w:rsidRDefault="00996BD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96BD6" w:rsidRPr="00227020" w:rsidRDefault="00996BD6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96BD6" w:rsidRPr="00C9647A" w:rsidRDefault="00996BD6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96BD6" w:rsidRPr="00C9647A" w:rsidRDefault="00996BD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F64BA"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96BD6" w:rsidRPr="00C9647A" w:rsidRDefault="00996BD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234B3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96BD6" w:rsidRPr="00C9647A" w:rsidRDefault="00996BD6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</w:t>
            </w:r>
            <w:r>
              <w:rPr>
                <w:color w:val="000000"/>
                <w:sz w:val="18"/>
                <w:szCs w:val="18"/>
              </w:rPr>
              <w:t>малом предпринимательстве к 2019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 xml:space="preserve"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бюджеты всех уровней и внебюджетные фонды.</w:t>
            </w:r>
          </w:p>
          <w:p w:rsidR="00996BD6" w:rsidRPr="00C9647A" w:rsidRDefault="00996BD6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996BD6" w:rsidRPr="00C9647A" w:rsidRDefault="00996BD6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996BD6" w:rsidRPr="00C9647A" w:rsidRDefault="00996BD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96BD6" w:rsidRPr="00C9647A" w:rsidRDefault="00996BD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96BD6" w:rsidRPr="00C9647A" w:rsidRDefault="00996BD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96BD6" w:rsidRPr="00C9647A" w:rsidRDefault="00996BD6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96BD6" w:rsidRPr="00654867" w:rsidRDefault="00996BD6" w:rsidP="000809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A41EB">
              <w:rPr>
                <w:color w:val="000000"/>
                <w:sz w:val="18"/>
                <w:szCs w:val="18"/>
                <w:lang w:eastAsia="ru-RU"/>
              </w:rPr>
              <w:lastRenderedPageBreak/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96BD6" w:rsidRPr="00CF5851" w:rsidRDefault="00996BD6" w:rsidP="00F07512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96BD6" w:rsidRPr="00227020" w:rsidTr="00B07F77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996BD6" w:rsidRPr="00657DB5" w:rsidRDefault="00996BD6" w:rsidP="00454F01">
            <w:pPr>
              <w:spacing w:before="40" w:after="40"/>
              <w:rPr>
                <w:sz w:val="18"/>
                <w:szCs w:val="18"/>
              </w:rPr>
            </w:pPr>
            <w:proofErr w:type="spellStart"/>
            <w:r w:rsidRPr="005B352F">
              <w:rPr>
                <w:sz w:val="18"/>
                <w:szCs w:val="18"/>
              </w:rPr>
              <w:t>Софинансирование</w:t>
            </w:r>
            <w:proofErr w:type="spellEnd"/>
            <w:r w:rsidRPr="005B352F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</w:t>
            </w:r>
            <w:r w:rsidRPr="005B352F">
              <w:rPr>
                <w:sz w:val="18"/>
                <w:szCs w:val="18"/>
              </w:rPr>
              <w:lastRenderedPageBreak/>
              <w:t>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Pr="00C9647A" w:rsidRDefault="00996BD6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45D47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Pr="00C9647A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Pr="00C9647A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996BD6" w:rsidRPr="00C9647A" w:rsidRDefault="00996BD6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996BD6" w:rsidRPr="00FA41EB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Default="00996BD6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96BD6" w:rsidRPr="00227020" w:rsidTr="00F568F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96BD6" w:rsidRPr="00227020" w:rsidRDefault="00996BD6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96BD6" w:rsidRPr="00C9647A" w:rsidRDefault="00996BD6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96BD6" w:rsidRPr="00C9647A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96BD6" w:rsidRPr="00C9647A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96BD6" w:rsidRPr="00C9647A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96BD6" w:rsidRPr="005907EE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96BD6" w:rsidRPr="00227020" w:rsidTr="00B07F77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Pr="00C9647A" w:rsidRDefault="00996BD6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F5311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Default="00996BD6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F5311"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996BD6" w:rsidRPr="00C9647A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</w:tcPr>
          <w:p w:rsidR="00996BD6" w:rsidRPr="00227020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Default="00996BD6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96BD6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227020" w:rsidRDefault="00996BD6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Default="00996BD6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96BD6" w:rsidRPr="00BD1347" w:rsidRDefault="00996BD6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Pr="00C9647A" w:rsidRDefault="00996BD6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345D47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Pr="00C9647A" w:rsidRDefault="00996BD6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Pr="00C9647A" w:rsidRDefault="00996BD6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Pr="00C9647A" w:rsidRDefault="00996BD6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Pr="00227020" w:rsidRDefault="00996BD6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96BD6" w:rsidRDefault="00996BD6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454F01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 xml:space="preserve">Повышение профессионального уровня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8174D4" w:rsidRDefault="00C157F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157F0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В мае проведен праздничный концерт, посвященный празднованию Дня российского </w:t>
            </w:r>
            <w:r w:rsidRPr="00C157F0">
              <w:rPr>
                <w:color w:val="000000"/>
                <w:sz w:val="18"/>
                <w:szCs w:val="18"/>
                <w:lang w:eastAsia="ru-RU"/>
              </w:rPr>
              <w:lastRenderedPageBreak/>
              <w:t>предпринимательства. Награждены предприниматели за вклад в развитие экономики муниципального образования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</w:tr>
      <w:tr w:rsidR="00454F01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66098">
              <w:rPr>
                <w:color w:val="000000"/>
                <w:sz w:val="18"/>
                <w:szCs w:val="18"/>
                <w:lang w:eastAsia="ru-RU"/>
              </w:rPr>
              <w:t xml:space="preserve">Проведение мероприятия запланировано </w:t>
            </w:r>
            <w:r>
              <w:rPr>
                <w:color w:val="000000"/>
                <w:sz w:val="18"/>
                <w:szCs w:val="18"/>
                <w:lang w:eastAsia="ru-RU"/>
              </w:rPr>
              <w:t>на 4 кв.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454F01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C157F0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май</w:t>
            </w:r>
            <w:r w:rsidR="00454F01">
              <w:rPr>
                <w:color w:val="000000"/>
                <w:sz w:val="18"/>
                <w:szCs w:val="18"/>
                <w:lang w:eastAsia="ru-RU"/>
              </w:rPr>
              <w:t xml:space="preserve">  2017</w:t>
            </w:r>
            <w:proofErr w:type="gramEnd"/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454F01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54F01" w:rsidRPr="00227020" w:rsidRDefault="00454F01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4F01" w:rsidRPr="00227020" w:rsidRDefault="00454F01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54F01" w:rsidRPr="00C9647A" w:rsidRDefault="00454F01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54F01" w:rsidRPr="00C9647A" w:rsidRDefault="00454F01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2015-2019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54F01" w:rsidRPr="00C9647A" w:rsidRDefault="00454F01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2017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54F01" w:rsidRPr="00C9647A" w:rsidRDefault="00454F01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54F01" w:rsidRPr="00227020" w:rsidRDefault="00454F01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54F01" w:rsidRPr="00227020" w:rsidRDefault="00454F01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733A47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AA53C6">
        <w:rPr>
          <w:color w:val="000000"/>
        </w:rPr>
        <w:t>од Кедровый» на 2015-2019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AA53C6">
        <w:rPr>
          <w:color w:val="000000"/>
        </w:rPr>
        <w:t xml:space="preserve"> на 2015-2019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58"/>
        <w:gridCol w:w="627"/>
        <w:gridCol w:w="557"/>
        <w:gridCol w:w="442"/>
        <w:gridCol w:w="498"/>
        <w:gridCol w:w="2328"/>
        <w:gridCol w:w="2471"/>
        <w:gridCol w:w="1223"/>
        <w:gridCol w:w="1329"/>
        <w:gridCol w:w="1332"/>
        <w:gridCol w:w="1312"/>
        <w:gridCol w:w="1315"/>
      </w:tblGrid>
      <w:tr w:rsidR="0023710A" w:rsidTr="0023710A">
        <w:trPr>
          <w:trHeight w:val="499"/>
          <w:tblHeader/>
        </w:trPr>
        <w:tc>
          <w:tcPr>
            <w:tcW w:w="958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2C1101">
        <w:trPr>
          <w:trHeight w:val="620"/>
          <w:tblHeader/>
        </w:trPr>
        <w:tc>
          <w:tcPr>
            <w:tcW w:w="958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2C1101">
        <w:trPr>
          <w:trHeight w:val="345"/>
          <w:tblHeader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3710A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23710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3710A" w:rsidRDefault="007567D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23710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873292" w:rsidRDefault="0023710A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</w:t>
            </w:r>
            <w:r>
              <w:rPr>
                <w:sz w:val="18"/>
                <w:szCs w:val="18"/>
              </w:rPr>
              <w:t xml:space="preserve">ельских проектов «Бизнес-старт», </w:t>
            </w:r>
            <w:r w:rsidRPr="00CF6DEC">
              <w:rPr>
                <w:sz w:val="18"/>
                <w:szCs w:val="18"/>
              </w:rPr>
              <w:t xml:space="preserve">«Достойный бизнес» </w:t>
            </w:r>
            <w:r w:rsidRPr="00873292">
              <w:rPr>
                <w:sz w:val="18"/>
                <w:szCs w:val="18"/>
              </w:rPr>
              <w:t>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EB1984" w:rsidRDefault="0023710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F12FF9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F12FF9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26668A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26668A" w:rsidRDefault="0093598E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710A" w:rsidTr="002C1101">
        <w:trPr>
          <w:trHeight w:val="259"/>
        </w:trPr>
        <w:tc>
          <w:tcPr>
            <w:tcW w:w="19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6E4ED9" w:rsidRDefault="0023710A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93598E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67D1" w:rsidTr="00045028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7567D1" w:rsidRP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67D1">
              <w:rPr>
                <w:sz w:val="18"/>
                <w:szCs w:val="18"/>
              </w:rPr>
              <w:t>Софинансирование</w:t>
            </w:r>
            <w:proofErr w:type="spellEnd"/>
            <w:r w:rsidRPr="007567D1">
              <w:rPr>
                <w:sz w:val="18"/>
                <w:szCs w:val="18"/>
              </w:rPr>
              <w:t xml:space="preserve">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Pr="007567D1" w:rsidRDefault="007567D1" w:rsidP="007567D1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Pr="007567D1" w:rsidRDefault="007567D1" w:rsidP="007567D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Pr="007567D1" w:rsidRDefault="007567D1" w:rsidP="007567D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Pr="007567D1" w:rsidRDefault="007567D1" w:rsidP="007567D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Pr="007567D1" w:rsidRDefault="007567D1" w:rsidP="007567D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567D1" w:rsidTr="00045028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567D1" w:rsidRDefault="007567D1" w:rsidP="007567D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Default="007567D1" w:rsidP="007567D1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Default="007567D1" w:rsidP="007567D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Default="007567D1" w:rsidP="007567D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Default="007567D1" w:rsidP="007567D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567D1" w:rsidRDefault="007567D1" w:rsidP="007567D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7041" w:rsidTr="00C87BF0">
        <w:trPr>
          <w:trHeight w:val="259"/>
        </w:trPr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807041" w:rsidRP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7041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Pr="007567D1" w:rsidRDefault="00807041" w:rsidP="00807041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7567D1">
              <w:rPr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Pr="007567D1" w:rsidRDefault="00807041" w:rsidP="0080704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Pr="007567D1" w:rsidRDefault="00807041" w:rsidP="0080704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Pr="007567D1" w:rsidRDefault="00807041" w:rsidP="0080704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Pr="007567D1" w:rsidRDefault="00807041" w:rsidP="0080704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07041" w:rsidTr="00045028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07041" w:rsidRDefault="00807041" w:rsidP="008070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Default="00807041" w:rsidP="00807041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Default="00807041" w:rsidP="0080704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Default="00807041" w:rsidP="0080704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Default="00807041" w:rsidP="0080704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7041" w:rsidRDefault="00807041" w:rsidP="0080704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1101" w:rsidTr="002C1101">
        <w:trPr>
          <w:trHeight w:val="259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Pr="004C059E" w:rsidRDefault="002C1101" w:rsidP="00C34FE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Pr="004C059E" w:rsidRDefault="002C1101" w:rsidP="00C34FE0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Pr="004C059E" w:rsidRDefault="002C1101" w:rsidP="00C34FE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Pr="004C059E" w:rsidRDefault="002C1101" w:rsidP="00C34FE0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C059E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2C1101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Pr="00C34FE0" w:rsidRDefault="002C1101" w:rsidP="00C34FE0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34FE0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Pr="00C34FE0" w:rsidRDefault="007C075F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Pr="00C34FE0" w:rsidRDefault="002C1101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Pr="00C34FE0" w:rsidRDefault="002C1101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Pr="00C34FE0" w:rsidRDefault="002C1101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Pr="00C34FE0" w:rsidRDefault="002C1101" w:rsidP="00C34FE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C1101" w:rsidTr="002C1101">
        <w:trPr>
          <w:trHeight w:val="259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Pr="00C34FE0" w:rsidRDefault="002C1101" w:rsidP="00C34FE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Pr="00C34FE0" w:rsidRDefault="002C1101" w:rsidP="00C34FE0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Pr="00C34FE0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Pr="00C34FE0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Default="002C1101" w:rsidP="00C34FE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C1101" w:rsidRDefault="002C1101" w:rsidP="00C34FE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710A" w:rsidTr="002C1101">
        <w:trPr>
          <w:trHeight w:val="522"/>
        </w:trPr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23710A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733A47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23710A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1E7DFA" w:rsidRDefault="005A0CF3" w:rsidP="0050638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383BF6" w:rsidRDefault="007C075F" w:rsidP="0050638C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EB1984" w:rsidRDefault="007C075F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6F2B67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6F2B67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26668A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26668A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710A" w:rsidTr="002C1101">
        <w:trPr>
          <w:trHeight w:val="522"/>
        </w:trPr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23710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23710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1E7DFA" w:rsidRDefault="0023710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1E7DFA" w:rsidRDefault="0023710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1727F7" w:rsidRDefault="0023710A" w:rsidP="0050638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Default="0023710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6E4ED9" w:rsidRDefault="007C075F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27,1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6E2835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6E2835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6E2835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Default="006E2835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710A" w:rsidRPr="00B00123" w:rsidTr="002C1101">
        <w:trPr>
          <w:trHeight w:val="522"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733A47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B00123" w:rsidRDefault="007C075F" w:rsidP="006517C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B00123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B00123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B00123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B00123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3710A" w:rsidRPr="00B00123" w:rsidTr="002C1101">
        <w:trPr>
          <w:trHeight w:val="522"/>
        </w:trPr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883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23710A" w:rsidRPr="00B00123" w:rsidRDefault="0023710A" w:rsidP="0050638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7C075F" w:rsidP="006517C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47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Pr="00B00123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3710A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B00123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23710A" w:rsidRPr="00B00123" w:rsidRDefault="006E2835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>ия «Город Кедровый» на 2015-2019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5A0CF3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52,1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6E2835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6E2835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5A0CF3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52,1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6E2835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6E2835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5A0CF3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6E2835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6E2835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733A47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897522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211AF8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5A7CC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8162D" w:rsidRDefault="0028162D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8162D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8162D" w:rsidRPr="00C915C0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28162D" w:rsidRPr="00C915C0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8162D" w:rsidRDefault="0028162D" w:rsidP="0028162D">
            <w:pPr>
              <w:spacing w:before="40" w:after="4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Приведение в соответствие с решением</w:t>
            </w:r>
            <w:r w:rsidRPr="00F46CC3">
              <w:rPr>
                <w:color w:val="000000"/>
                <w:sz w:val="20"/>
                <w:szCs w:val="20"/>
                <w:lang w:eastAsia="ru-RU"/>
              </w:rPr>
              <w:t xml:space="preserve"> Думы города Кедрового от 29.12.2016 №86 «О бюджете города Кедрового на 2017 год и плановый период 2018 и 2019 годов»</w:t>
            </w:r>
            <w:r>
              <w:rPr>
                <w:color w:val="000000"/>
                <w:sz w:val="20"/>
                <w:szCs w:val="20"/>
                <w:lang w:eastAsia="ru-RU"/>
              </w:rPr>
              <w:t>, уточнение значений целевых показателей</w:t>
            </w:r>
          </w:p>
        </w:tc>
      </w:tr>
    </w:tbl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/>
    <w:p w:rsidR="00BE32F1" w:rsidRDefault="00BE32F1" w:rsidP="00BE32F1">
      <w:pPr>
        <w:jc w:val="center"/>
        <w:sectPr w:rsidR="00BE32F1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466D9" w:rsidRDefault="0065123C" w:rsidP="004466D9">
      <w:pPr>
        <w:ind w:firstLine="426"/>
        <w:jc w:val="center"/>
      </w:pPr>
      <w:r>
        <w:lastRenderedPageBreak/>
        <w:t>Аналитическая</w:t>
      </w:r>
      <w:r w:rsidR="004466D9">
        <w:t xml:space="preserve"> записка</w:t>
      </w:r>
    </w:p>
    <w:p w:rsidR="0065123C" w:rsidRDefault="0065123C" w:rsidP="004466D9">
      <w:pPr>
        <w:ind w:firstLine="426"/>
        <w:jc w:val="center"/>
      </w:pPr>
    </w:p>
    <w:p w:rsidR="0065123C" w:rsidRDefault="0065123C" w:rsidP="0065123C">
      <w:pPr>
        <w:ind w:firstLine="709"/>
        <w:jc w:val="both"/>
      </w:pPr>
      <w:r>
        <w:t>За отчетный период не выполнены следующие показатели:</w:t>
      </w:r>
    </w:p>
    <w:p w:rsidR="0065123C" w:rsidRDefault="0065123C" w:rsidP="0065123C">
      <w:pPr>
        <w:ind w:firstLine="709"/>
        <w:jc w:val="both"/>
      </w:pPr>
      <w:r>
        <w:t>5.2. Показатель «</w:t>
      </w:r>
      <w:r w:rsidRPr="00EA16E2">
        <w:t>Доля численности работников малых и средних предприятий в общей числен</w:t>
      </w:r>
      <w:r>
        <w:t>ности занятых трудовых ресурсов» меньше, чем запланировано, в связи с ежегодным снижением количества индивидуальных предпринимателей и трудовых ресурсов. 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</w:r>
    </w:p>
    <w:p w:rsidR="0065123C" w:rsidRPr="00FE499E" w:rsidRDefault="0065123C" w:rsidP="0065123C">
      <w:pPr>
        <w:ind w:firstLine="709"/>
        <w:jc w:val="both"/>
      </w:pPr>
      <w:r w:rsidRPr="00FE499E">
        <w:t>5.4. Показатель «Количество рабочих мест, созданных победителями конкурсов «Бизнес-старт», «Достойный бизнес» на территории муниципального образования» имеет нулевое значение, в связи с отсутствием потенциальных претендентов и как следствие оптимизации бюджетных ассигнований;</w:t>
      </w:r>
    </w:p>
    <w:p w:rsidR="0065123C" w:rsidRPr="00FE499E" w:rsidRDefault="0065123C" w:rsidP="0065123C">
      <w:pPr>
        <w:ind w:firstLine="709"/>
        <w:jc w:val="both"/>
        <w:rPr>
          <w:color w:val="000000"/>
        </w:rPr>
      </w:pPr>
      <w:r w:rsidRPr="00FE499E">
        <w:t xml:space="preserve">5.5. Показатель «Количество проведенных мероприятий, направленных на </w:t>
      </w:r>
      <w:r w:rsidRPr="00FE499E">
        <w:rPr>
          <w:color w:val="000000"/>
        </w:rPr>
        <w:t>поддержку малого и среднего предпринимательства» имеет нулевое значение, в связи с отсутствием заявлений на оказание муниципальной помощи;</w:t>
      </w:r>
    </w:p>
    <w:p w:rsidR="0065123C" w:rsidRDefault="0065123C" w:rsidP="0065123C">
      <w:pPr>
        <w:tabs>
          <w:tab w:val="left" w:pos="323"/>
        </w:tabs>
        <w:snapToGrid w:val="0"/>
        <w:ind w:left="39" w:firstLine="709"/>
        <w:jc w:val="both"/>
      </w:pPr>
      <w:r w:rsidRPr="00FE499E">
        <w:rPr>
          <w:color w:val="000000"/>
        </w:rPr>
        <w:t>5.6. Показатель «</w:t>
      </w:r>
      <w:r w:rsidRPr="00FE499E">
        <w:t>Наличие организации, осуществляющей деятельность по поддержке субъектов малого и среднего предпринимательства» отсутствует, в связи с низкой потребностью субъектов малого и среднего предпринимательства в услугах центра и, соответственно, нерентабельностью оказания услуг по сопровождению бизнеса. Продолжает рассматриваться вопрос о возможности открытия центра поддержки предпринимательства и о выделении субсидий предпринимателю, готовому открыть коммерческий центр поддержки предпринимательства</w:t>
      </w:r>
      <w:r>
        <w:t>.</w:t>
      </w:r>
    </w:p>
    <w:p w:rsidR="0065123C" w:rsidRPr="00FE499E" w:rsidRDefault="0065123C" w:rsidP="0065123C">
      <w:pPr>
        <w:tabs>
          <w:tab w:val="left" w:pos="323"/>
        </w:tabs>
        <w:snapToGrid w:val="0"/>
        <w:ind w:left="39" w:firstLine="709"/>
        <w:jc w:val="both"/>
      </w:pPr>
      <w:r>
        <w:t>5.7. Показатель «</w:t>
      </w:r>
      <w:r w:rsidRPr="0065123C">
        <w:t>Количество публикаций в СМИ о различных сторонах деятельности предпринимательских структур, об</w:t>
      </w:r>
      <w:r>
        <w:t xml:space="preserve"> успешно реализованных проектах» оценивается по итогам года, за отчетный период была опублик</w:t>
      </w:r>
      <w:r w:rsidR="00FB5EB6">
        <w:t>ована одна статья по проведенному муниципальному конкурсу</w:t>
      </w:r>
      <w:r>
        <w:t xml:space="preserve"> </w:t>
      </w:r>
      <w:r w:rsidR="00FB5EB6">
        <w:t>на определение специализированной службе по вопросам организации похоронного дела.</w:t>
      </w:r>
    </w:p>
    <w:p w:rsidR="0065123C" w:rsidRPr="00A94822" w:rsidRDefault="0065123C" w:rsidP="0065123C">
      <w:pPr>
        <w:jc w:val="both"/>
      </w:pPr>
    </w:p>
    <w:p w:rsidR="0065123C" w:rsidRDefault="0065123C" w:rsidP="004466D9">
      <w:pPr>
        <w:ind w:firstLine="426"/>
        <w:jc w:val="center"/>
      </w:pPr>
    </w:p>
    <w:p w:rsidR="004466D9" w:rsidRDefault="004466D9" w:rsidP="004466D9">
      <w:pPr>
        <w:ind w:firstLine="426"/>
        <w:jc w:val="both"/>
      </w:pPr>
    </w:p>
    <w:p w:rsidR="00A94822" w:rsidRPr="00A94822" w:rsidRDefault="00A94822" w:rsidP="00A94822">
      <w:pPr>
        <w:jc w:val="both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center"/>
      </w:pPr>
    </w:p>
    <w:p w:rsidR="00BE32F1" w:rsidRDefault="00BE32F1" w:rsidP="00BE32F1">
      <w:pPr>
        <w:jc w:val="both"/>
        <w:sectPr w:rsidR="00BE32F1" w:rsidSect="00A114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E32F1" w:rsidRDefault="00BE32F1" w:rsidP="004466D9"/>
    <w:sectPr w:rsidR="00BE32F1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9F"/>
    <w:rsid w:val="000031F0"/>
    <w:rsid w:val="0003078F"/>
    <w:rsid w:val="00031A96"/>
    <w:rsid w:val="00032175"/>
    <w:rsid w:val="000646F5"/>
    <w:rsid w:val="00080940"/>
    <w:rsid w:val="00094FF4"/>
    <w:rsid w:val="000A7670"/>
    <w:rsid w:val="000B25F5"/>
    <w:rsid w:val="000C58FA"/>
    <w:rsid w:val="000E0B95"/>
    <w:rsid w:val="000E4F82"/>
    <w:rsid w:val="000F2BA9"/>
    <w:rsid w:val="000F5738"/>
    <w:rsid w:val="00106244"/>
    <w:rsid w:val="0015024D"/>
    <w:rsid w:val="001549DF"/>
    <w:rsid w:val="00156646"/>
    <w:rsid w:val="00160EFA"/>
    <w:rsid w:val="001614CD"/>
    <w:rsid w:val="001844F8"/>
    <w:rsid w:val="00191C0F"/>
    <w:rsid w:val="001A4214"/>
    <w:rsid w:val="001B4D86"/>
    <w:rsid w:val="001C2A67"/>
    <w:rsid w:val="001C3FDB"/>
    <w:rsid w:val="001D38D6"/>
    <w:rsid w:val="001E7DFA"/>
    <w:rsid w:val="00211AF8"/>
    <w:rsid w:val="002216CF"/>
    <w:rsid w:val="00227020"/>
    <w:rsid w:val="0023057C"/>
    <w:rsid w:val="0023693B"/>
    <w:rsid w:val="0023710A"/>
    <w:rsid w:val="00242FEA"/>
    <w:rsid w:val="0026668A"/>
    <w:rsid w:val="00270662"/>
    <w:rsid w:val="00272083"/>
    <w:rsid w:val="0028162D"/>
    <w:rsid w:val="00282652"/>
    <w:rsid w:val="00282DEA"/>
    <w:rsid w:val="00286CD9"/>
    <w:rsid w:val="00286E11"/>
    <w:rsid w:val="00296CD4"/>
    <w:rsid w:val="002A14DF"/>
    <w:rsid w:val="002B17CF"/>
    <w:rsid w:val="002C1101"/>
    <w:rsid w:val="002D31A7"/>
    <w:rsid w:val="00312EFF"/>
    <w:rsid w:val="00325F6E"/>
    <w:rsid w:val="003428A7"/>
    <w:rsid w:val="00345D47"/>
    <w:rsid w:val="00350D7C"/>
    <w:rsid w:val="0038073E"/>
    <w:rsid w:val="003809A5"/>
    <w:rsid w:val="003917D6"/>
    <w:rsid w:val="00396A48"/>
    <w:rsid w:val="003B4575"/>
    <w:rsid w:val="004059C4"/>
    <w:rsid w:val="00433D16"/>
    <w:rsid w:val="0044108B"/>
    <w:rsid w:val="004466D9"/>
    <w:rsid w:val="00454F01"/>
    <w:rsid w:val="004A5791"/>
    <w:rsid w:val="004A6AC8"/>
    <w:rsid w:val="004B4A76"/>
    <w:rsid w:val="004B531D"/>
    <w:rsid w:val="004B5AF0"/>
    <w:rsid w:val="004C059E"/>
    <w:rsid w:val="004D2CBE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635A"/>
    <w:rsid w:val="00563F82"/>
    <w:rsid w:val="00586727"/>
    <w:rsid w:val="00587020"/>
    <w:rsid w:val="005907EE"/>
    <w:rsid w:val="005A0CF3"/>
    <w:rsid w:val="005B352F"/>
    <w:rsid w:val="005F0BB8"/>
    <w:rsid w:val="00603F22"/>
    <w:rsid w:val="0065123C"/>
    <w:rsid w:val="006517CD"/>
    <w:rsid w:val="00654867"/>
    <w:rsid w:val="00657DB5"/>
    <w:rsid w:val="006621D3"/>
    <w:rsid w:val="0067399A"/>
    <w:rsid w:val="00674AF5"/>
    <w:rsid w:val="00675E4F"/>
    <w:rsid w:val="00687D12"/>
    <w:rsid w:val="00691E44"/>
    <w:rsid w:val="00693B0C"/>
    <w:rsid w:val="006A6181"/>
    <w:rsid w:val="006C478B"/>
    <w:rsid w:val="006E2835"/>
    <w:rsid w:val="006F1F55"/>
    <w:rsid w:val="006F2B67"/>
    <w:rsid w:val="00733A47"/>
    <w:rsid w:val="007404ED"/>
    <w:rsid w:val="007567D1"/>
    <w:rsid w:val="00766712"/>
    <w:rsid w:val="007856CB"/>
    <w:rsid w:val="007C075F"/>
    <w:rsid w:val="007D2F87"/>
    <w:rsid w:val="007D7995"/>
    <w:rsid w:val="007E580B"/>
    <w:rsid w:val="007F64BA"/>
    <w:rsid w:val="00801DB0"/>
    <w:rsid w:val="00807041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6697"/>
    <w:rsid w:val="008C7BCA"/>
    <w:rsid w:val="008D56D9"/>
    <w:rsid w:val="008E79EC"/>
    <w:rsid w:val="008F628D"/>
    <w:rsid w:val="00915C50"/>
    <w:rsid w:val="009216DB"/>
    <w:rsid w:val="0093598E"/>
    <w:rsid w:val="00950D36"/>
    <w:rsid w:val="00975B92"/>
    <w:rsid w:val="0097622C"/>
    <w:rsid w:val="00981432"/>
    <w:rsid w:val="00996BD6"/>
    <w:rsid w:val="009A2352"/>
    <w:rsid w:val="009B66FD"/>
    <w:rsid w:val="009C2D56"/>
    <w:rsid w:val="009D70C6"/>
    <w:rsid w:val="009E0748"/>
    <w:rsid w:val="00A03D89"/>
    <w:rsid w:val="00A114BB"/>
    <w:rsid w:val="00A2623A"/>
    <w:rsid w:val="00A34A83"/>
    <w:rsid w:val="00A368EF"/>
    <w:rsid w:val="00A43890"/>
    <w:rsid w:val="00A4615F"/>
    <w:rsid w:val="00A477F4"/>
    <w:rsid w:val="00A538BD"/>
    <w:rsid w:val="00A63DA4"/>
    <w:rsid w:val="00A83F9F"/>
    <w:rsid w:val="00A94822"/>
    <w:rsid w:val="00AA53C6"/>
    <w:rsid w:val="00AB1E4C"/>
    <w:rsid w:val="00AB77CA"/>
    <w:rsid w:val="00AC4E4D"/>
    <w:rsid w:val="00AF5A4F"/>
    <w:rsid w:val="00B00123"/>
    <w:rsid w:val="00B3401B"/>
    <w:rsid w:val="00B40277"/>
    <w:rsid w:val="00B66098"/>
    <w:rsid w:val="00B70E94"/>
    <w:rsid w:val="00B847D3"/>
    <w:rsid w:val="00B86FEE"/>
    <w:rsid w:val="00B96E2C"/>
    <w:rsid w:val="00BB3F42"/>
    <w:rsid w:val="00BB5414"/>
    <w:rsid w:val="00BD1347"/>
    <w:rsid w:val="00BE32F1"/>
    <w:rsid w:val="00C157F0"/>
    <w:rsid w:val="00C263F1"/>
    <w:rsid w:val="00C31E6B"/>
    <w:rsid w:val="00C34FE0"/>
    <w:rsid w:val="00C41B7F"/>
    <w:rsid w:val="00C43A9B"/>
    <w:rsid w:val="00C5160B"/>
    <w:rsid w:val="00C74ABF"/>
    <w:rsid w:val="00C74B6E"/>
    <w:rsid w:val="00C801D4"/>
    <w:rsid w:val="00C82356"/>
    <w:rsid w:val="00C915C0"/>
    <w:rsid w:val="00C924F5"/>
    <w:rsid w:val="00C9647A"/>
    <w:rsid w:val="00CB360D"/>
    <w:rsid w:val="00CB3FFE"/>
    <w:rsid w:val="00CF1DD3"/>
    <w:rsid w:val="00CF5311"/>
    <w:rsid w:val="00CF5851"/>
    <w:rsid w:val="00D30AB0"/>
    <w:rsid w:val="00D379C5"/>
    <w:rsid w:val="00D423BF"/>
    <w:rsid w:val="00D4264C"/>
    <w:rsid w:val="00D56AC8"/>
    <w:rsid w:val="00D84C32"/>
    <w:rsid w:val="00D9592A"/>
    <w:rsid w:val="00DA3C92"/>
    <w:rsid w:val="00DE6794"/>
    <w:rsid w:val="00E22C52"/>
    <w:rsid w:val="00E26683"/>
    <w:rsid w:val="00E660EF"/>
    <w:rsid w:val="00E848DE"/>
    <w:rsid w:val="00E84F3D"/>
    <w:rsid w:val="00E96761"/>
    <w:rsid w:val="00EA0CC4"/>
    <w:rsid w:val="00EA1259"/>
    <w:rsid w:val="00EA1907"/>
    <w:rsid w:val="00EB1984"/>
    <w:rsid w:val="00ED5B24"/>
    <w:rsid w:val="00ED5EB4"/>
    <w:rsid w:val="00F07512"/>
    <w:rsid w:val="00F07879"/>
    <w:rsid w:val="00F12FF9"/>
    <w:rsid w:val="00F4760B"/>
    <w:rsid w:val="00F93767"/>
    <w:rsid w:val="00FA41EB"/>
    <w:rsid w:val="00FB0D28"/>
    <w:rsid w:val="00FB22E1"/>
    <w:rsid w:val="00FB5EB6"/>
    <w:rsid w:val="00FC0B9F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4C3F2-EE30-41A9-AE73-6ACB069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CB7EE-8F41-4CBB-BD0B-FF605A5D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2017-01-25T04:18:00Z</cp:lastPrinted>
  <dcterms:created xsi:type="dcterms:W3CDTF">2016-05-24T05:02:00Z</dcterms:created>
  <dcterms:modified xsi:type="dcterms:W3CDTF">2017-07-07T06:25:00Z</dcterms:modified>
</cp:coreProperties>
</file>